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  <Override PartName="/word/_rels/document.xml.rels" ContentType="application/vnd.openxmlformats-package.relationships+xml"/>
  <Override PartName="/word/fontTable.xml" ContentType="application/vnd.openxmlformats-officedocument.wordprocessingml.fontTable+xml"/>
  <Override PartName="/word/media/image1.png" ContentType="image/png"/>
  <Override PartName="/word/media/image2.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customXml/_rels/item1.xml.rels" ContentType="application/vnd.openxmlformats-package.relationships+xml"/>
  <Override PartName="/customXml/itemProps1.xml" ContentType="application/vnd.openxmlformats-officedocument.customXmlProperties+xml"/>
  <Override PartName="/customXml/item1.xml" ContentType="application/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  <w:t>30.09</w:t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.2025</w:t>
      </w:r>
    </w:p>
    <w:p>
      <w:pPr>
        <w:pStyle w:val="ConsPlusNormal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cs="Times New Roman" w:ascii="Times New Roman" w:hAnsi="Times New Roman"/>
        </w:rPr>
        <w:br/>
      </w:r>
    </w:p>
    <w:p>
      <w:pPr>
        <w:pStyle w:val="ConsPlusNormal"/>
        <w:jc w:val="both"/>
        <w:rPr>
          <w:rFonts w:ascii="Tinos" w:hAnsi="Tinos" w:cs="Tinos"/>
          <w:b w:val="false"/>
          <w:bCs/>
          <w:i/>
          <w:i/>
          <w:sz w:val="28"/>
          <w:szCs w:val="28"/>
        </w:rPr>
      </w:pPr>
      <w:r>
        <w:rPr>
          <w:rFonts w:cs="Tinos" w:ascii="Tinos" w:hAnsi="Tinos"/>
          <w:b w:val="false"/>
          <w:bCs/>
          <w:i/>
          <w:sz w:val="28"/>
          <w:szCs w:val="28"/>
        </w:rPr>
      </w:r>
    </w:p>
    <w:p>
      <w:pPr>
        <w:pStyle w:val="ConsPlusNormal"/>
        <w:jc w:val="left"/>
        <w:rPr>
          <w:rFonts w:ascii="Tinos" w:hAnsi="Tinos" w:eastAsia="Tinos" w:cs="Tinos"/>
          <w:b w:val="false"/>
          <w:bCs w:val="false"/>
          <w:i/>
          <w:i/>
          <w:iCs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i w:val="false"/>
          <w:iCs w:val="false"/>
          <w:sz w:val="28"/>
          <w:szCs w:val="28"/>
        </w:rPr>
        <w:t>Порядок подачи документов в Росреестр в электронном вид</w:t>
      </w:r>
      <w:r>
        <w:rPr>
          <w:rFonts w:eastAsia="Times New Roman" w:cs="Times New Roman" w:ascii="Times New Roman" w:hAnsi="Times New Roman"/>
          <w:b w:val="false"/>
          <w:bCs w:val="false"/>
          <w:i w:val="false"/>
          <w:iCs w:val="false"/>
          <w:sz w:val="28"/>
          <w:szCs w:val="28"/>
        </w:rPr>
        <w:t>е</w:t>
      </w:r>
    </w:p>
    <w:p>
      <w:pPr>
        <w:pStyle w:val="Normal"/>
        <w:spacing w:lineRule="auto" w:line="240" w:before="0" w:after="0"/>
        <w:ind w:hang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pBdr/>
        <w:spacing w:lineRule="auto" w:line="240" w:before="0" w:afterAutospacing="0" w:after="0"/>
        <w:ind w:left="0" w:right="0" w:firstLine="709"/>
        <w:jc w:val="both"/>
        <w:rPr>
          <w:rFonts w:ascii="Times New Roman" w:hAnsi="Times New Roman" w:cs="Times New Roman"/>
          <w:b w:val="false"/>
          <w:bCs w:val="false"/>
          <w:color w:val="000000" w:themeColor="text1"/>
          <w:sz w:val="28"/>
          <w:szCs w:val="28"/>
          <w:highlight w:val="white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</w:rPr>
        <w:t xml:space="preserve">Управление Росреестра по Алтайскому краю напоминает, что </w:t>
      </w: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  <w:highlight w:val="white"/>
        </w:rPr>
        <w:t xml:space="preserve">01.03.2025 вступили в силу изменения в законодательство, </w:t>
      </w: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pacing w:val="-4"/>
          <w:sz w:val="28"/>
          <w:szCs w:val="28"/>
          <w:highlight w:val="white"/>
        </w:rPr>
        <w:t xml:space="preserve">согласно которым </w:t>
      </w: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  <w:highlight w:val="white"/>
        </w:rPr>
        <w:t>юридические лица представляют заявления о проведении учетно-регистрационных действий, а также прилагаемые к ним документы в орган регистрации прав только в форме электронных документов.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b w:val="false"/>
          <w:bCs w:val="false"/>
          <w:color w:val="292C2F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292C2F"/>
          <w:sz w:val="28"/>
          <w:szCs w:val="28"/>
        </w:rPr>
        <w:t xml:space="preserve">Для физических лиц обязательное обращение в Росреестр  в электронном виде предусмотрено только при регистрации договоров участия в долевом строительстве. Вместе с тем, физические лица могут предоставлять документы в Росреестр в электронном виде без каких-либо ограничений.   Для этого, за некоторыми исключениями, необходимо наличие </w:t>
      </w:r>
      <w:r>
        <w:rPr>
          <w:rFonts w:eastAsia="Times New Roman" w:cs="Times New Roman" w:ascii="Times New Roman" w:hAnsi="Times New Roman"/>
          <w:b/>
          <w:bCs/>
          <w:color w:val="000000"/>
          <w:sz w:val="28"/>
          <w:szCs w:val="28"/>
        </w:rPr>
        <w:t>усиленной квалифицированной электронной подписи</w:t>
      </w: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.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color w:val="000000" w:themeColor="text1"/>
          <w:sz w:val="28"/>
          <w:szCs w:val="28"/>
        </w:rPr>
        <w:t>Электронные документы могут быть представлены в форматах, предусмотренных законом (xml, pdf, pdf-A и т д.).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</w:rPr>
        <w:t xml:space="preserve">Например, для ДДУ необходим формат PDF-A, для технического и межевого планов, акта обследования - XML. </w:t>
      </w:r>
      <w:r>
        <w:rPr>
          <w:rFonts w:eastAsia="Times New Roman" w:cs="Times New Roman" w:ascii="Times New Roman" w:hAnsi="Times New Roman"/>
          <w:color w:val="000000" w:themeColor="text1"/>
          <w:sz w:val="28"/>
          <w:szCs w:val="28"/>
        </w:rPr>
        <w:t>В отдельных случаях – возможно представить переведенные в электронный вид бумажные документы (электронное образы в формате pdf).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sz w:val="28"/>
          <w:szCs w:val="28"/>
        </w:rPr>
        <w:t xml:space="preserve">Если с заявлением обращается представитель физического или юридического лица – необходима </w:t>
      </w:r>
      <w:r>
        <w:rPr>
          <w:rFonts w:eastAsia="Times New Roman" w:cs="Times New Roman" w:ascii="Times New Roman" w:hAnsi="Times New Roman"/>
          <w:color w:val="000000" w:themeColor="text1"/>
          <w:sz w:val="28"/>
          <w:szCs w:val="28"/>
        </w:rPr>
        <w:t xml:space="preserve">нотариально удостоверенная доверенность для подачи заявлений в Росреестр на лиц, имеющих право действовать по доверенности – нотариальная машиночитаемая доверенность (МЧД) , либо доверенность в в электронном виде, тождественность бумажному виду для которой установлена нотариусом с приложением файла подписи нотариуса. </w:t>
      </w:r>
    </w:p>
    <w:p>
      <w:pPr>
        <w:pStyle w:val="Normal"/>
        <w:pBdr/>
        <w:spacing w:lineRule="auto" w:line="240" w:before="0" w:afterAutospacing="0" w:after="0"/>
        <w:ind w:left="0" w:right="0" w:firstLine="709"/>
        <w:jc w:val="both"/>
        <w:rPr>
          <w:rFonts w:ascii="Times New Roman" w:hAnsi="Times New Roman" w:cs="Times New Roman"/>
          <w:b w:val="false"/>
          <w:bCs w:val="false"/>
          <w:i/>
          <w:i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/>
          <w:bCs/>
          <w:color w:val="000000" w:themeColor="text1"/>
          <w:sz w:val="28"/>
          <w:szCs w:val="28"/>
        </w:rPr>
        <w:t xml:space="preserve">Важное правило при подаче документов в Росреестр – </w:t>
      </w:r>
      <w:r>
        <w:rPr>
          <w:rFonts w:eastAsia="Times New Roman" w:cs="Times New Roman" w:ascii="Times New Roman" w:hAnsi="Times New Roman"/>
          <w:b/>
          <w:bCs/>
          <w:i/>
          <w:iCs/>
          <w:color w:val="000000" w:themeColor="text1"/>
          <w:sz w:val="28"/>
          <w:szCs w:val="28"/>
        </w:rPr>
        <w:t xml:space="preserve">кто документы подписал, того лица и должна быть приложена электронная подпись. </w:t>
      </w:r>
      <w:r>
        <w:rPr>
          <w:rFonts w:eastAsia="Times New Roman" w:cs="Times New Roman" w:ascii="Times New Roman" w:hAnsi="Times New Roman"/>
          <w:b w:val="false"/>
          <w:bCs w:val="false"/>
          <w:i/>
          <w:iCs/>
          <w:color w:val="000000" w:themeColor="text1"/>
          <w:sz w:val="28"/>
          <w:szCs w:val="28"/>
        </w:rPr>
        <w:t xml:space="preserve"> Если документы удостоверил  нотариус- подпись нотариуса, по договору купли-продажи – подписи продавца и покупателя, к судебному акту – подпись судьи и т.д.</w:t>
      </w:r>
      <w:r>
        <w:rPr>
          <w:rFonts w:eastAsia="Times New Roman" w:cs="Times New Roman" w:ascii="Times New Roman" w:hAnsi="Times New Roman"/>
          <w:b w:val="false"/>
          <w:bCs w:val="false"/>
          <w:i/>
          <w:color w:val="000000" w:themeColor="text1"/>
          <w:sz w:val="28"/>
          <w:szCs w:val="28"/>
        </w:rPr>
        <w:t xml:space="preserve"> </w:t>
      </w:r>
    </w:p>
    <w:p>
      <w:pPr>
        <w:pStyle w:val="Normal"/>
        <w:pBdr/>
        <w:spacing w:lineRule="auto" w:line="240" w:before="0" w:afterAutospacing="0" w:after="0"/>
        <w:ind w:left="0" w:right="0" w:firstLine="709"/>
        <w:jc w:val="both"/>
        <w:rPr>
          <w:rFonts w:ascii="Times New Roman" w:hAnsi="Times New Roman" w:cs="Times New Roman"/>
          <w:b w:val="false"/>
          <w:bCs w:val="false"/>
          <w:i/>
          <w:i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i/>
          <w:color w:val="000000" w:themeColor="text1"/>
          <w:sz w:val="28"/>
          <w:szCs w:val="28"/>
        </w:rPr>
        <w:t>Оплатить государственную пошлину также можно с помощью электронных  платежных систем кредитных организаций по УИНу, который предоставляется заявителю после подачи документов в  электронном виде.</w:t>
      </w:r>
    </w:p>
    <w:p>
      <w:pPr>
        <w:pStyle w:val="Normal"/>
        <w:pBdr/>
        <w:spacing w:lineRule="auto" w:line="240" w:beforeAutospacing="0" w:before="0" w:afterAutospacing="0" w:after="0"/>
        <w:ind w:left="0" w:right="0"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</w:rPr>
        <w:t>Получить электронную подпись юридические лица могут в офисах ФНС (бесплатно). Физические лица - в удостоверяющих центрах, на электронных площадках, как правило, это облачные подписи, на электронных площадках кредитных организаций. В отдельных случаях достаточно Г</w:t>
      </w:r>
      <w:r>
        <w:rPr>
          <w:rFonts w:eastAsia="Times New Roman" w:cs="Times New Roman" w:ascii="Times New Roman" w:hAnsi="Times New Roman"/>
          <w:color w:val="000000" w:themeColor="text1"/>
          <w:sz w:val="28"/>
          <w:szCs w:val="28"/>
        </w:rPr>
        <w:t xml:space="preserve">осключа, полученного бесплатно на ЕПГУ. </w:t>
      </w:r>
    </w:p>
    <w:p>
      <w:pPr>
        <w:pStyle w:val="Normal"/>
        <w:pBdr/>
        <w:spacing w:lineRule="auto" w:line="240" w:before="0" w:afterAutospacing="0" w:after="0"/>
        <w:ind w:left="0" w:right="0"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000000" w:themeColor="text1"/>
          <w:sz w:val="28"/>
          <w:szCs w:val="28"/>
        </w:rPr>
        <w:t xml:space="preserve">В случае поступления в Росреестр в бумажном виде заявлений и документов, для которых предусмотрено обязательное предоставление в электронной форме, государственным регистратором будет принято решение о возврате документов без рассмотрения.   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 xml:space="preserve">В свою очередь, </w:t>
      </w: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 xml:space="preserve">перед совершением электронной сделки по переходу, прекращению права собственности  на объекты недвижимости, либо по уступке прав по договору  участия в долевом строительстве физическому лицу или его представителю (при наличии соответствующих полномочий) необходимо обратиться в МФЦ с заявлением о  возможности представления  в Росреестр документов в  электронном виде. </w:t>
      </w:r>
    </w:p>
    <w:p>
      <w:pPr>
        <w:pStyle w:val="Normal"/>
        <w:pBdr/>
        <w:spacing w:lineRule="atLeast" w:line="288" w:before="0" w:after="0"/>
        <w:ind w:left="0" w:righ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Отсутствие в ЕГРН записи о возможности регистрации на основании электронных документов, является основанием для возврата без рассмотрения заявлений  о регистрации перехода, прекращения права собственности на соответствующий объект недвижимости или сделки об уступке прав по договору участия в долевом строительстве.</w:t>
      </w:r>
    </w:p>
    <w:p>
      <w:pPr>
        <w:pStyle w:val="Normal"/>
        <w:spacing w:lineRule="auto" w:line="240" w:before="0" w:afterAutospacing="0" w:after="0"/>
        <w:ind w:left="0" w:right="0" w:firstLine="709"/>
        <w:jc w:val="both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eastAsia="Times New Roman" w:cs="Times New Roman" w:ascii="Times New Roman" w:hAnsi="Times New Roman"/>
          <w:color w:val="000000"/>
          <w:sz w:val="28"/>
          <w:szCs w:val="28"/>
        </w:rPr>
        <w:t>На портале услуг Росреестра размещено руководство пользователя с описанием алгоритма действий заявителей по каждому виду услуги.</w:t>
      </w:r>
    </w:p>
    <w:p>
      <w:pPr>
        <w:pStyle w:val="NormalWeb"/>
        <w:spacing w:beforeAutospacing="0" w:before="0" w:afterAutospacing="0" w:after="0"/>
        <w:ind w:left="0" w:right="0" w:firstLine="709"/>
        <w:jc w:val="both"/>
        <w:rPr>
          <w:rFonts w:ascii="Times New Roman" w:hAnsi="Times New Roman" w:cs="Times New Roman"/>
          <w:i w:val="false"/>
          <w:i w:val="false"/>
          <w:iCs w:val="false"/>
          <w:sz w:val="28"/>
          <w:szCs w:val="28"/>
          <w:highlight w:val="none"/>
        </w:rPr>
      </w:pPr>
      <w:r>
        <w:rPr>
          <w:rFonts w:eastAsia="Times New Roman" w:cs="Times New Roman"/>
          <w:i w:val="false"/>
          <w:iCs w:val="false"/>
          <w:sz w:val="28"/>
          <w:szCs w:val="28"/>
        </w:rPr>
        <w:t>Напоминаем, что срок проведения учетно-регистрационных действий по электронным заявлениям в отношении объектов недвижимости, расположенных на территории Алтайского края, составляет 1 рабочий день, при условии оплаты государственной полины и отсутствии замечаний.</w:t>
      </w:r>
    </w:p>
    <w:p>
      <w:pPr>
        <w:pStyle w:val="NormalWeb"/>
        <w:spacing w:beforeAutospacing="0" w:before="0" w:afterAutospacing="0" w:after="0"/>
        <w:ind w:left="0" w:right="0" w:firstLine="709"/>
        <w:jc w:val="both"/>
        <w:rPr>
          <w:bCs w:val="false"/>
          <w:i w:val="false"/>
          <w:i w:val="false"/>
          <w:sz w:val="28"/>
          <w:szCs w:val="28"/>
          <w:highlight w:val="none"/>
        </w:rPr>
      </w:pPr>
      <w:r>
        <w:rPr>
          <w:bCs w:val="false"/>
          <w:i w:val="false"/>
          <w:sz w:val="28"/>
          <w:szCs w:val="28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/>
        <w:drawing>
          <wp:inline distT="0" distB="0" distL="0" distR="0">
            <wp:extent cx="5509895" cy="5509895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550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Web"/>
        <w:spacing w:beforeAutospacing="0" w:before="0" w:afterAutospacing="0" w:after="0"/>
        <w:ind w:hanging="0"/>
        <w:jc w:val="both"/>
        <w:rPr>
          <w:sz w:val="28"/>
          <w:szCs w:val="28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/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sectPr>
      <w:type w:val="nextPage"/>
      <w:pgSz w:w="11906" w:h="16838"/>
      <w:pgMar w:left="1134" w:right="567" w:gutter="0" w:header="0" w:top="567" w:footer="0" w:bottom="567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default"/>
  </w:font>
  <w:font w:name="Cambria">
    <w:charset w:val="01"/>
    <w:family w:val="roman"/>
    <w:pitch w:val="default"/>
  </w:font>
  <w:font w:name="Arial">
    <w:charset w:val="01"/>
    <w:family w:val="roman"/>
    <w:pitch w:val="default"/>
  </w:font>
  <w:font w:name="Times New Roman">
    <w:charset w:val="01"/>
    <w:family w:val="roman"/>
    <w:pitch w:val="default"/>
  </w:font>
  <w:font w:name="PT Astra Serif">
    <w:charset w:val="01"/>
    <w:family w:val="roman"/>
    <w:pitch w:val="default"/>
  </w:font>
  <w:font w:name="Tinos">
    <w:charset w:val="01"/>
    <w:family w:val="roman"/>
    <w:pitch w:val="default"/>
  </w:font>
</w:fonts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uiPriority w:val="9"/>
    <w:qFormat/>
    <w:pPr>
      <w:keepNext w:val="true"/>
      <w:keepLines/>
      <w:spacing w:before="480" w:after="0"/>
      <w:outlineLvl w:val="0"/>
    </w:pPr>
    <w:rPr>
      <w:rFonts w:ascii="Cambria" w:hAnsi="Cambria" w:eastAsia="Arial" w:cs="Arial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uiPriority w:val="9"/>
    <w:qFormat/>
    <w:pPr>
      <w:spacing w:lineRule="auto" w:line="240" w:beforeAutospacing="1" w:afterAutospacing="1"/>
      <w:outlineLvl w:val="3"/>
    </w:pPr>
    <w:rPr>
      <w:rFonts w:ascii="Times New Roman" w:hAnsi="Times New Roman" w:eastAsia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-">
    <w:name w:val="Hyperlink"/>
    <w:semiHidden/>
    <w:unhideWhenUsed/>
    <w:rPr>
      <w:strike w:val="false"/>
      <w:dstrike w:val="false"/>
      <w:color w:val="28529D"/>
      <w:u w:val="none"/>
    </w:rPr>
  </w:style>
  <w:style w:type="character" w:styleId="Style7" w:customStyle="1">
    <w:name w:val="Текст сноски Знак"/>
    <w:basedOn w:val="DefaultParagraphFont"/>
    <w:uiPriority w:val="99"/>
    <w:qFormat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8">
    <w:name w:val="Символ сноски"/>
    <w:uiPriority w:val="99"/>
    <w:qFormat/>
    <w:rPr>
      <w:vertAlign w:val="superscript"/>
    </w:rPr>
  </w:style>
  <w:style w:type="character" w:styleId="Style9">
    <w:name w:val="Footnote Reference"/>
    <w:rPr>
      <w:vertAlign w:val="superscript"/>
    </w:rPr>
  </w:style>
  <w:style w:type="character" w:styleId="Style10" w:customStyle="1">
    <w:name w:val="Верхний колонтитул Знак"/>
    <w:basedOn w:val="DefaultParagraphFont"/>
    <w:uiPriority w:val="99"/>
    <w:qFormat/>
    <w:rPr/>
  </w:style>
  <w:style w:type="character" w:styleId="Style11" w:customStyle="1">
    <w:name w:val="Нижний колонтитул Знак"/>
    <w:basedOn w:val="DefaultParagraphFont"/>
    <w:uiPriority w:val="99"/>
    <w:qFormat/>
    <w:rPr/>
  </w:style>
  <w:style w:type="character" w:styleId="FontStyle18" w:customStyle="1">
    <w:name w:val="Font Style18"/>
    <w:basedOn w:val="DefaultParagraphFont"/>
    <w:uiPriority w:val="99"/>
    <w:qFormat/>
    <w:rPr>
      <w:rFonts w:ascii="Times New Roman" w:hAnsi="Times New Roman" w:cs="Times New Roman"/>
      <w:sz w:val="26"/>
      <w:szCs w:val="26"/>
    </w:rPr>
  </w:style>
  <w:style w:type="character" w:styleId="41" w:customStyle="1">
    <w:name w:val="Заголовок 4 Знак"/>
    <w:basedOn w:val="DefaultParagraphFont"/>
    <w:uiPriority w:val="9"/>
    <w:qFormat/>
    <w:rPr>
      <w:rFonts w:ascii="Times New Roman" w:hAnsi="Times New Roman" w:eastAsia="Times New Roman" w:cs="Times New Roman"/>
      <w:b/>
      <w:bCs/>
      <w:sz w:val="24"/>
      <w:szCs w:val="24"/>
      <w:lang w:eastAsia="ru-RU"/>
    </w:rPr>
  </w:style>
  <w:style w:type="character" w:styleId="11" w:customStyle="1">
    <w:name w:val="Заголовок 1 Знак"/>
    <w:basedOn w:val="DefaultParagraphFont"/>
    <w:uiPriority w:val="9"/>
    <w:qFormat/>
    <w:rPr>
      <w:rFonts w:ascii="Cambria" w:hAnsi="Cambria" w:eastAsia="Arial" w:cs="Arial" w:asciiTheme="majorHAnsi" w:cstheme="majorBidi" w:eastAsiaTheme="majorEastAsia" w:hAnsiTheme="majorHAnsi"/>
      <w:b/>
      <w:bCs/>
      <w:color w:val="365F91" w:themeColor="accent1" w:themeShade="bf"/>
      <w:sz w:val="28"/>
      <w:szCs w:val="28"/>
    </w:rPr>
  </w:style>
  <w:style w:type="paragraph" w:styleId="Style12">
    <w:name w:val="Заголовок"/>
    <w:basedOn w:val="Normal"/>
    <w:next w:val="Style13"/>
    <w:qFormat/>
    <w:pPr>
      <w:keepNext w:val="true"/>
      <w:spacing w:before="240" w:after="120"/>
    </w:pPr>
    <w:rPr>
      <w:rFonts w:ascii="PT Astra Serif" w:hAnsi="PT Astra Serif" w:eastAsia="Tahoma" w:cs="Noto Sans Devanagari"/>
      <w:sz w:val="28"/>
      <w:szCs w:val="28"/>
    </w:rPr>
  </w:style>
  <w:style w:type="paragraph" w:styleId="Style13">
    <w:name w:val="Body Text"/>
    <w:basedOn w:val="Normal"/>
    <w:pPr>
      <w:spacing w:lineRule="auto" w:line="276" w:before="0" w:after="140"/>
    </w:pPr>
    <w:rPr/>
  </w:style>
  <w:style w:type="paragraph" w:styleId="Style14">
    <w:name w:val="List"/>
    <w:basedOn w:val="Style13"/>
    <w:pPr/>
    <w:rPr>
      <w:rFonts w:ascii="PT Astra Serif" w:hAnsi="PT Astra Serif" w:cs="Noto Sans Devanagari"/>
    </w:rPr>
  </w:style>
  <w:style w:type="paragraph" w:styleId="Style15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val="4F81BD" w:themeColor="accent1"/>
      <w:sz w:val="18"/>
      <w:szCs w:val="18"/>
    </w:rPr>
  </w:style>
  <w:style w:type="paragraph" w:styleId="Style16">
    <w:name w:val="Указатель"/>
    <w:basedOn w:val="Normal"/>
    <w:qFormat/>
    <w:pPr>
      <w:suppressLineNumbers/>
    </w:pPr>
    <w:rPr>
      <w:rFonts w:ascii="PT Astra Serif" w:hAnsi="PT Astra Serif" w:cs="Noto Sans Devanagari"/>
    </w:rPr>
  </w:style>
  <w:style w:type="paragraph" w:styleId="NoSpacing">
    <w:name w:val="No Spacing"/>
    <w:uiPriority w:val="1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Style17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18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 w:hanging="0"/>
    </w:pPr>
    <w:rPr>
      <w:i/>
    </w:rPr>
  </w:style>
  <w:style w:type="paragraph" w:styleId="Style19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2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1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1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0">
    <w:name w:val="Index Heading"/>
    <w:basedOn w:val="Style12"/>
    <w:pPr/>
    <w:rPr/>
  </w:style>
  <w:style w:type="paragraph" w:styleId="Style21">
    <w:name w:val="TOC Heading"/>
    <w:uiPriority w:val="39"/>
    <w:unhideWhenUsed/>
    <w:pPr>
      <w:widowControl/>
      <w:bidi w:val="0"/>
      <w:spacing w:lineRule="auto" w:line="276" w:beforeAutospacing="0" w:before="0" w:afterAutospacing="0" w:after="200"/>
      <w:jc w:val="left"/>
    </w:pPr>
    <w:rPr>
      <w:rFonts w:ascii="Calibri" w:hAnsi="Calibri" w:eastAsia="Calibri" w:cs="Arial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ConsPlusNormal" w:customStyle="1">
    <w:name w:val="ConsPlusNormal"/>
    <w:uiPriority w:val="99"/>
    <w:qFormat/>
    <w:pPr>
      <w:widowControl/>
      <w:bidi w:val="0"/>
      <w:spacing w:lineRule="auto" w:line="240" w:beforeAutospacing="0" w:before="0" w:afterAutospacing="0" w:after="0"/>
      <w:jc w:val="left"/>
    </w:pPr>
    <w:rPr>
      <w:rFonts w:ascii="Arial" w:hAnsi="Arial" w:eastAsia="Times New Roman" w:cs="Arial" w:cstheme="minorBidi"/>
      <w:color w:val="auto"/>
      <w:kern w:val="0"/>
      <w:sz w:val="20"/>
      <w:szCs w:val="20"/>
      <w:lang w:eastAsia="ru-RU" w:val="ru-RU" w:bidi="ar-SA"/>
    </w:rPr>
  </w:style>
  <w:style w:type="paragraph" w:styleId="Style22">
    <w:name w:val="Footnote Text"/>
    <w:basedOn w:val="Normal"/>
    <w:uiPriority w:val="99"/>
    <w:qFormat/>
    <w:pPr>
      <w:spacing w:lineRule="auto" w:line="240" w:before="0" w:after="0"/>
    </w:pPr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pPr>
      <w:spacing w:before="0" w:after="200"/>
      <w:ind w:left="720" w:hanging="0"/>
      <w:contextualSpacing/>
    </w:pPr>
    <w:rPr/>
  </w:style>
  <w:style w:type="paragraph" w:styleId="Style23">
    <w:name w:val="Колонтитул"/>
    <w:basedOn w:val="Normal"/>
    <w:qFormat/>
    <w:pPr/>
    <w:rPr/>
  </w:style>
  <w:style w:type="paragraph" w:styleId="Style24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5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NormalWeb">
    <w:name w:val="Normal (Web)"/>
    <w:basedOn w:val="Normal"/>
    <w:uiPriority w:val="99"/>
    <w:unhideWhenUsed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 w:color="000000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67B263-9CA5-4C9C-8503-7BAB138030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LibreOffice/7.5.6.2$Linux_X86_64 LibreOffice_project/50$Build-2</Application>
  <AppVersion>15.0000</AppVersion>
  <Pages>3</Pages>
  <Words>620</Words>
  <Characters>4754</Characters>
  <CharactersWithSpaces>5454</CharactersWithSpaces>
  <Paragraphs>27</Paragraphs>
  <Company>diakov.net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2024-01-15T02:29:00Z</dcterms:created>
  <dc:creator>Хайрутдинова Ольга Анатольевна</dc:creator>
  <dc:description/>
  <dc:language>ru-RU</dc:language>
  <cp:lastModifiedBy/>
  <dcterms:modified xsi:type="dcterms:W3CDTF">2025-09-30T16:49:11Z</dcterms:modified>
  <cp:revision>15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